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CCB" w:rsidRDefault="00003CCB" w:rsidP="007115C2">
      <w:pPr>
        <w:jc w:val="center"/>
      </w:pPr>
    </w:p>
    <w:p w:rsidR="007115C2" w:rsidRDefault="007115C2" w:rsidP="007115C2">
      <w:pPr>
        <w:jc w:val="center"/>
        <w:rPr>
          <w:b/>
        </w:rPr>
      </w:pPr>
    </w:p>
    <w:p w:rsidR="007115C2" w:rsidRDefault="007115C2" w:rsidP="007115C2">
      <w:pPr>
        <w:jc w:val="center"/>
        <w:rPr>
          <w:b/>
        </w:rPr>
      </w:pPr>
    </w:p>
    <w:p w:rsidR="007115C2" w:rsidRDefault="007115C2" w:rsidP="007115C2">
      <w:pPr>
        <w:jc w:val="center"/>
        <w:rPr>
          <w:b/>
        </w:rPr>
      </w:pPr>
    </w:p>
    <w:p w:rsidR="007115C2" w:rsidRDefault="007115C2" w:rsidP="007115C2">
      <w:pPr>
        <w:jc w:val="center"/>
        <w:rPr>
          <w:b/>
        </w:rPr>
      </w:pPr>
    </w:p>
    <w:p w:rsidR="007115C2" w:rsidRDefault="007115C2" w:rsidP="007115C2">
      <w:pPr>
        <w:jc w:val="center"/>
        <w:rPr>
          <w:b/>
        </w:rPr>
      </w:pPr>
    </w:p>
    <w:p w:rsidR="007115C2" w:rsidRPr="007115C2" w:rsidRDefault="0066532D" w:rsidP="007115C2">
      <w:pPr>
        <w:jc w:val="center"/>
        <w:rPr>
          <w:b/>
        </w:rPr>
      </w:pPr>
      <w:r>
        <w:rPr>
          <w:b/>
        </w:rPr>
        <w:t xml:space="preserve">Impact of Community Health Workers on Public Health </w:t>
      </w:r>
    </w:p>
    <w:p w:rsidR="007115C2" w:rsidRDefault="007115C2" w:rsidP="007115C2">
      <w:pPr>
        <w:jc w:val="center"/>
      </w:pPr>
    </w:p>
    <w:p w:rsidR="007115C2" w:rsidRDefault="007115C2" w:rsidP="007115C2">
      <w:pPr>
        <w:jc w:val="center"/>
      </w:pPr>
    </w:p>
    <w:p w:rsidR="007115C2" w:rsidRDefault="0066532D" w:rsidP="007115C2">
      <w:pPr>
        <w:jc w:val="center"/>
      </w:pPr>
      <w:r>
        <w:t>Institutional Affiliation</w:t>
      </w:r>
    </w:p>
    <w:p w:rsidR="007115C2" w:rsidRDefault="0066532D" w:rsidP="007115C2">
      <w:pPr>
        <w:jc w:val="center"/>
      </w:pPr>
      <w:r>
        <w:t xml:space="preserve">Student Name </w:t>
      </w:r>
    </w:p>
    <w:p w:rsidR="007115C2" w:rsidRDefault="0066532D" w:rsidP="007115C2">
      <w:pPr>
        <w:jc w:val="center"/>
      </w:pPr>
      <w:r>
        <w:t>Professor’s Name</w:t>
      </w:r>
    </w:p>
    <w:p w:rsidR="007115C2" w:rsidRDefault="0066532D" w:rsidP="007115C2">
      <w:pPr>
        <w:jc w:val="center"/>
      </w:pPr>
      <w:r>
        <w:t>Course</w:t>
      </w:r>
    </w:p>
    <w:p w:rsidR="007115C2" w:rsidRDefault="0066532D" w:rsidP="007115C2">
      <w:pPr>
        <w:jc w:val="center"/>
      </w:pPr>
      <w:r>
        <w:t>Date</w:t>
      </w:r>
    </w:p>
    <w:p w:rsidR="007115C2" w:rsidRDefault="007115C2" w:rsidP="007115C2">
      <w:pPr>
        <w:jc w:val="center"/>
      </w:pPr>
    </w:p>
    <w:p w:rsidR="007115C2" w:rsidRDefault="007115C2" w:rsidP="007115C2">
      <w:pPr>
        <w:jc w:val="center"/>
      </w:pPr>
    </w:p>
    <w:p w:rsidR="007115C2" w:rsidRDefault="007115C2" w:rsidP="007115C2">
      <w:pPr>
        <w:jc w:val="center"/>
      </w:pPr>
    </w:p>
    <w:p w:rsidR="007115C2" w:rsidRDefault="007115C2" w:rsidP="007115C2">
      <w:pPr>
        <w:jc w:val="center"/>
      </w:pPr>
    </w:p>
    <w:p w:rsidR="007115C2" w:rsidRDefault="007115C2" w:rsidP="007115C2">
      <w:pPr>
        <w:jc w:val="center"/>
      </w:pPr>
    </w:p>
    <w:p w:rsidR="007115C2" w:rsidRDefault="007115C2" w:rsidP="007115C2">
      <w:pPr>
        <w:jc w:val="center"/>
      </w:pPr>
    </w:p>
    <w:p w:rsidR="007115C2" w:rsidRDefault="007115C2" w:rsidP="007115C2">
      <w:pPr>
        <w:jc w:val="center"/>
      </w:pPr>
    </w:p>
    <w:p w:rsidR="007115C2" w:rsidRDefault="007115C2" w:rsidP="007115C2">
      <w:pPr>
        <w:jc w:val="center"/>
      </w:pPr>
    </w:p>
    <w:p w:rsidR="00BC19AF" w:rsidRDefault="0066532D">
      <w:r>
        <w:br w:type="page"/>
      </w:r>
    </w:p>
    <w:p w:rsidR="009D5CB5" w:rsidRDefault="0066532D" w:rsidP="009D5CB5">
      <w:pPr>
        <w:jc w:val="center"/>
        <w:rPr>
          <w:b/>
        </w:rPr>
      </w:pPr>
      <w:r w:rsidRPr="009D5CB5">
        <w:rPr>
          <w:b/>
        </w:rPr>
        <w:lastRenderedPageBreak/>
        <w:t>Impact of Community Health Workers on Public</w:t>
      </w:r>
      <w:r>
        <w:rPr>
          <w:b/>
        </w:rPr>
        <w:t xml:space="preserve"> and Community</w:t>
      </w:r>
      <w:r w:rsidRPr="009D5CB5">
        <w:rPr>
          <w:b/>
        </w:rPr>
        <w:t xml:space="preserve"> Health</w:t>
      </w:r>
    </w:p>
    <w:p w:rsidR="009D5CB5" w:rsidRDefault="0066532D" w:rsidP="002E5743">
      <w:pPr>
        <w:ind w:firstLine="720"/>
        <w:contextualSpacing/>
        <w:mirrorIndents/>
      </w:pPr>
      <w:r w:rsidRPr="009D5CB5">
        <w:t xml:space="preserve">In any research, sampling cannot be underestimated. Proper sampling techniques ought to be applied to minimize </w:t>
      </w:r>
      <w:r>
        <w:t>biasness. In vast areas of study like healthcare, where many elements are factored, systematic sampling is used to ensure a specific sample is ac</w:t>
      </w:r>
      <w:r>
        <w:t xml:space="preserve">quired for a particular reason. In my research project, </w:t>
      </w:r>
      <w:r w:rsidR="007115C2">
        <w:t>the</w:t>
      </w:r>
      <w:r w:rsidR="007115C2" w:rsidRPr="00E71BD5">
        <w:t xml:space="preserve"> population of interest</w:t>
      </w:r>
      <w:r w:rsidR="00E71BD5">
        <w:t xml:space="preserve"> are</w:t>
      </w:r>
      <w:r w:rsidR="00E71BD5" w:rsidRPr="00E71BD5">
        <w:t xml:space="preserve"> the community health workers. Community health workers are ordinary members of the community who decide to work voluntarily or pay with the local health care systems within any locality to bridge the facility and the services they offer</w:t>
      </w:r>
      <w:r w:rsidR="00B35288">
        <w:t xml:space="preserve"> (</w:t>
      </w:r>
      <w:r w:rsidR="00B35288" w:rsidRPr="00B35288">
        <w:t>Jack et al., 2017</w:t>
      </w:r>
      <w:r w:rsidR="00B35288">
        <w:t>)</w:t>
      </w:r>
      <w:r w:rsidR="00E71BD5" w:rsidRPr="00E71BD5">
        <w:t>. Community health care workers bring the services provided at health care</w:t>
      </w:r>
      <w:r w:rsidR="00E71BD5">
        <w:t xml:space="preserve"> facilities to the community. They are categorized by the job they do; health interpreter, advisor, coach, educator, advocate, promoter, or counsellor. They are the frontline personnel in the reduction of health disparities in communities that are underserved. </w:t>
      </w:r>
    </w:p>
    <w:p w:rsidR="009D5CB5" w:rsidRDefault="0066532D" w:rsidP="002E5743">
      <w:pPr>
        <w:ind w:firstLine="720"/>
        <w:contextualSpacing/>
        <w:mirrorIndents/>
      </w:pPr>
      <w:r>
        <w:t xml:space="preserve">Definitions </w:t>
      </w:r>
    </w:p>
    <w:p w:rsidR="009D5CB5" w:rsidRPr="009D5CB5" w:rsidRDefault="0066532D" w:rsidP="002E5743">
      <w:pPr>
        <w:pStyle w:val="ListParagraph"/>
        <w:numPr>
          <w:ilvl w:val="0"/>
          <w:numId w:val="1"/>
        </w:numPr>
        <w:ind w:left="0" w:firstLine="720"/>
        <w:mirrorIndents/>
        <w:rPr>
          <w:b/>
        </w:rPr>
      </w:pPr>
      <w:r w:rsidRPr="009D5CB5">
        <w:rPr>
          <w:b/>
        </w:rPr>
        <w:t>Community healthcare worker</w:t>
      </w:r>
      <w:r w:rsidR="00E71BD5">
        <w:t xml:space="preserve">s are </w:t>
      </w:r>
      <w:r w:rsidR="007D0BE0">
        <w:t xml:space="preserve">ordinary community members trained to be </w:t>
      </w:r>
      <w:r w:rsidR="00E71BD5">
        <w:t>health providers to underserved co</w:t>
      </w:r>
      <w:r w:rsidR="007D0BE0">
        <w:t xml:space="preserve">mmunities, assisting the health care systems in reaching out to the community members they have difficulties reaching. </w:t>
      </w:r>
    </w:p>
    <w:p w:rsidR="009D5CB5" w:rsidRPr="007D0BE0" w:rsidRDefault="0066532D" w:rsidP="002E5743">
      <w:pPr>
        <w:pStyle w:val="ListParagraph"/>
        <w:numPr>
          <w:ilvl w:val="0"/>
          <w:numId w:val="1"/>
        </w:numPr>
        <w:ind w:left="0" w:firstLine="720"/>
        <w:mirrorIndents/>
      </w:pPr>
      <w:r w:rsidRPr="009D5CB5">
        <w:rPr>
          <w:b/>
        </w:rPr>
        <w:t>Community health</w:t>
      </w:r>
      <w:r w:rsidR="007D0BE0">
        <w:rPr>
          <w:b/>
        </w:rPr>
        <w:t xml:space="preserve"> </w:t>
      </w:r>
      <w:r w:rsidR="007D0BE0" w:rsidRPr="007D0BE0">
        <w:t>focuses on the health of individual members of the community</w:t>
      </w:r>
      <w:r w:rsidR="007D0BE0">
        <w:t xml:space="preserve">. </w:t>
      </w:r>
      <w:r w:rsidR="007D0BE0" w:rsidRPr="007D0BE0">
        <w:t xml:space="preserve"> </w:t>
      </w:r>
    </w:p>
    <w:p w:rsidR="009D5CB5" w:rsidRDefault="0066532D" w:rsidP="002E5743">
      <w:pPr>
        <w:pStyle w:val="ListParagraph"/>
        <w:numPr>
          <w:ilvl w:val="0"/>
          <w:numId w:val="1"/>
        </w:numPr>
        <w:ind w:left="0" w:firstLine="720"/>
        <w:mirrorIndents/>
        <w:rPr>
          <w:b/>
        </w:rPr>
      </w:pPr>
      <w:r w:rsidRPr="009D5CB5">
        <w:rPr>
          <w:b/>
        </w:rPr>
        <w:t>Public health</w:t>
      </w:r>
      <w:r w:rsidR="007D0BE0">
        <w:rPr>
          <w:b/>
        </w:rPr>
        <w:t xml:space="preserve"> </w:t>
      </w:r>
      <w:r w:rsidR="007D0BE0" w:rsidRPr="007D0BE0">
        <w:t>focuses on the health of the general public of a country regarding health facilities, equipment, and personnel distribution.</w:t>
      </w:r>
    </w:p>
    <w:p w:rsidR="009D5CB5" w:rsidRDefault="0066532D" w:rsidP="002E5743">
      <w:pPr>
        <w:ind w:firstLine="720"/>
        <w:contextualSpacing/>
        <w:mirrorIndents/>
        <w:rPr>
          <w:b/>
        </w:rPr>
      </w:pPr>
      <w:r>
        <w:rPr>
          <w:b/>
        </w:rPr>
        <w:t>Target Population</w:t>
      </w:r>
    </w:p>
    <w:p w:rsidR="00BC2106" w:rsidRDefault="0066532D" w:rsidP="002E5743">
      <w:pPr>
        <w:ind w:firstLine="720"/>
        <w:contextualSpacing/>
        <w:mirrorIndents/>
      </w:pPr>
      <w:r w:rsidRPr="00BC2106">
        <w:t>The target population for this</w:t>
      </w:r>
      <w:r>
        <w:t xml:space="preserve"> research is the health care system within the community of interest. We are going to focu</w:t>
      </w:r>
      <w:r>
        <w:t xml:space="preserve">s on both volunteers and paid or salaried </w:t>
      </w:r>
      <w:r>
        <w:lastRenderedPageBreak/>
        <w:t>health workers. The volunteer qualifications and certification will also be accessed</w:t>
      </w:r>
      <w:r w:rsidR="00B35288">
        <w:t xml:space="preserve"> (</w:t>
      </w:r>
      <w:r w:rsidR="00B35288" w:rsidRPr="00B35288">
        <w:t>Shan et al., 2018</w:t>
      </w:r>
      <w:r w:rsidR="00B35288">
        <w:t>)</w:t>
      </w:r>
      <w:r>
        <w:t xml:space="preserve">. The voluntary services and the survive mechanism of the community worker apart from being a health care volunteer. The qualifications needed for community-based </w:t>
      </w:r>
      <w:r w:rsidR="00AF73A3">
        <w:t xml:space="preserve">health </w:t>
      </w:r>
      <w:r w:rsidR="002E5743">
        <w:t>care providers</w:t>
      </w:r>
      <w:r w:rsidR="00AF73A3">
        <w:t xml:space="preserve"> who are paid, their roles, and job descriptions.</w:t>
      </w:r>
    </w:p>
    <w:p w:rsidR="00BC2106" w:rsidRPr="00BC2106" w:rsidRDefault="0066532D" w:rsidP="002E5743">
      <w:pPr>
        <w:ind w:firstLine="720"/>
        <w:contextualSpacing/>
        <w:mirrorIndents/>
        <w:rPr>
          <w:b/>
        </w:rPr>
      </w:pPr>
      <w:r w:rsidRPr="00BC2106">
        <w:rPr>
          <w:b/>
        </w:rPr>
        <w:t xml:space="preserve">Objective </w:t>
      </w:r>
    </w:p>
    <w:p w:rsidR="00BC2106" w:rsidRPr="00BC2106" w:rsidRDefault="0066532D" w:rsidP="002E5743">
      <w:pPr>
        <w:ind w:firstLine="720"/>
        <w:contextualSpacing/>
        <w:mirrorIndents/>
      </w:pPr>
      <w:r>
        <w:t>This resear</w:t>
      </w:r>
      <w:r>
        <w:t xml:space="preserve">ch's main objective is to identify the impact of community health workers on community and public health. The duties of community health workers and their qualification criteria to serve under the different capacities they do. The power behind a community </w:t>
      </w:r>
      <w:r>
        <w:t>health worker concerning the people in the community they serve.</w:t>
      </w:r>
    </w:p>
    <w:p w:rsidR="00887DF9" w:rsidRDefault="00887DF9" w:rsidP="002E5743">
      <w:pPr>
        <w:ind w:firstLine="720"/>
        <w:contextualSpacing/>
        <w:mirrorIndents/>
        <w:jc w:val="center"/>
        <w:rPr>
          <w:b/>
        </w:rPr>
      </w:pPr>
    </w:p>
    <w:p w:rsidR="00887DF9" w:rsidRDefault="0066532D" w:rsidP="007A2109">
      <w:pPr>
        <w:contextualSpacing/>
        <w:mirrorIndents/>
        <w:jc w:val="center"/>
        <w:rPr>
          <w:b/>
        </w:rPr>
      </w:pPr>
      <w:r>
        <w:rPr>
          <w:b/>
        </w:rPr>
        <w:t>Sampling Frame</w:t>
      </w:r>
    </w:p>
    <w:p w:rsidR="00F26FAB" w:rsidRDefault="0066532D" w:rsidP="002E5743">
      <w:pPr>
        <w:ind w:firstLine="720"/>
        <w:contextualSpacing/>
        <w:mirrorIndents/>
      </w:pPr>
      <w:r>
        <w:t xml:space="preserve">The sampling frame should be accurate, comprehensive, and involve the probability sampling method. </w:t>
      </w:r>
    </w:p>
    <w:p w:rsidR="00F26FAB" w:rsidRPr="00F26FAB" w:rsidRDefault="0066532D" w:rsidP="007A2109">
      <w:pPr>
        <w:contextualSpacing/>
        <w:mirrorIndents/>
        <w:rPr>
          <w:b/>
        </w:rPr>
      </w:pPr>
      <w:r w:rsidRPr="00F26FAB">
        <w:rPr>
          <w:b/>
        </w:rPr>
        <w:t>Accuracy</w:t>
      </w:r>
    </w:p>
    <w:p w:rsidR="00F26FAB" w:rsidRDefault="0066532D" w:rsidP="002E5743">
      <w:pPr>
        <w:ind w:firstLine="720"/>
        <w:contextualSpacing/>
        <w:mirrorIndents/>
      </w:pPr>
      <w:r>
        <w:t>Accuracy calls for the researcher to define his plan for the rese</w:t>
      </w:r>
      <w:r>
        <w:t>arch according.</w:t>
      </w:r>
      <w:r w:rsidR="00355707">
        <w:t xml:space="preserve"> The probability sampling frame I will employ in my study is a simple random sampling—all the health workers within the United States</w:t>
      </w:r>
      <w:r w:rsidR="00B35288">
        <w:t xml:space="preserve"> (</w:t>
      </w:r>
      <w:r w:rsidR="00B35288" w:rsidRPr="00B35288">
        <w:t>Scott et al., 2018</w:t>
      </w:r>
      <w:r w:rsidR="00B35288">
        <w:t>)</w:t>
      </w:r>
      <w:r w:rsidR="00355707">
        <w:t xml:space="preserve">. The United States recorded community health workers as the fastest-growing occupation for most women, accounting for over 18 million employees. </w:t>
      </w:r>
      <w:r>
        <w:t>In our research project, we are interested in;</w:t>
      </w:r>
    </w:p>
    <w:p w:rsidR="00F26FAB" w:rsidRDefault="0066532D" w:rsidP="00912891">
      <w:pPr>
        <w:pStyle w:val="ListParagraph"/>
        <w:numPr>
          <w:ilvl w:val="0"/>
          <w:numId w:val="2"/>
        </w:numPr>
        <w:mirrorIndents/>
      </w:pPr>
      <w:r>
        <w:t>Community</w:t>
      </w:r>
      <w:r w:rsidR="00355707">
        <w:t xml:space="preserve"> health care workers from different states in the United States.</w:t>
      </w:r>
    </w:p>
    <w:p w:rsidR="00355707" w:rsidRDefault="0066532D" w:rsidP="00912891">
      <w:pPr>
        <w:pStyle w:val="ListParagraph"/>
        <w:numPr>
          <w:ilvl w:val="0"/>
          <w:numId w:val="2"/>
        </w:numPr>
        <w:mirrorIndents/>
      </w:pPr>
      <w:r>
        <w:t xml:space="preserve">The target population is all the over 18 million </w:t>
      </w:r>
      <w:r w:rsidR="00912891">
        <w:t xml:space="preserve">community health workers, whether registered or unregistered. </w:t>
      </w:r>
    </w:p>
    <w:p w:rsidR="00912891" w:rsidRDefault="0066532D" w:rsidP="00912891">
      <w:pPr>
        <w:pStyle w:val="ListParagraph"/>
        <w:numPr>
          <w:ilvl w:val="0"/>
          <w:numId w:val="2"/>
        </w:numPr>
        <w:mirrorIndents/>
      </w:pPr>
      <w:r>
        <w:t xml:space="preserve">The gap between public health and community health. </w:t>
      </w:r>
    </w:p>
    <w:p w:rsidR="00912891" w:rsidRDefault="0066532D" w:rsidP="00912891">
      <w:pPr>
        <w:pStyle w:val="ListParagraph"/>
        <w:numPr>
          <w:ilvl w:val="0"/>
          <w:numId w:val="2"/>
        </w:numPr>
        <w:mirrorIndents/>
      </w:pPr>
      <w:r>
        <w:lastRenderedPageBreak/>
        <w:t>The different roles of community health workers in the community.</w:t>
      </w:r>
    </w:p>
    <w:p w:rsidR="00912891" w:rsidRDefault="0066532D" w:rsidP="00912891">
      <w:pPr>
        <w:pStyle w:val="ListParagraph"/>
        <w:numPr>
          <w:ilvl w:val="0"/>
          <w:numId w:val="2"/>
        </w:numPr>
        <w:mirrorIndents/>
      </w:pPr>
      <w:r>
        <w:t>The impact of community health workers on community and public health.</w:t>
      </w:r>
    </w:p>
    <w:p w:rsidR="00912891" w:rsidRDefault="0066532D" w:rsidP="00912891">
      <w:pPr>
        <w:pStyle w:val="ListParagraph"/>
        <w:numPr>
          <w:ilvl w:val="0"/>
          <w:numId w:val="2"/>
        </w:numPr>
        <w:mirrorIndents/>
      </w:pPr>
      <w:r>
        <w:t>The motivation behind communit</w:t>
      </w:r>
      <w:r>
        <w:t>y health work</w:t>
      </w:r>
    </w:p>
    <w:p w:rsidR="00912891" w:rsidRDefault="0066532D" w:rsidP="00E13B27">
      <w:pPr>
        <w:pStyle w:val="ListParagraph"/>
        <w:numPr>
          <w:ilvl w:val="0"/>
          <w:numId w:val="2"/>
        </w:numPr>
        <w:mirrorIndents/>
      </w:pPr>
      <w:r>
        <w:t xml:space="preserve">The </w:t>
      </w:r>
      <w:r w:rsidR="00E13B27">
        <w:t>challenges faced by</w:t>
      </w:r>
      <w:r>
        <w:t xml:space="preserve"> community health workers. </w:t>
      </w:r>
    </w:p>
    <w:p w:rsidR="00887DF9" w:rsidRPr="00497A04" w:rsidRDefault="0066532D" w:rsidP="00497A04">
      <w:pPr>
        <w:ind w:firstLine="720"/>
        <w:contextualSpacing/>
        <w:mirrorIndents/>
      </w:pPr>
      <w:r>
        <w:t xml:space="preserve">Simple random sampling will allow for selecting health workers from any state, giving a random sample of the different community-based health workers in the United States and considering the </w:t>
      </w:r>
      <w:r>
        <w:t>vast majority of the community health workers being female, i.e. over 80%, to avoid biasness</w:t>
      </w:r>
      <w:r w:rsidR="00B35288">
        <w:t xml:space="preserve"> (Scott</w:t>
      </w:r>
      <w:r w:rsidR="00B35288" w:rsidRPr="00B35288">
        <w:t xml:space="preserve"> et al., 2018</w:t>
      </w:r>
      <w:r w:rsidR="00B35288">
        <w:t>)</w:t>
      </w:r>
      <w:r>
        <w:t xml:space="preserve">. We will categorically sample out male community health workers to sample their view and opinion on a health worker's impact. </w:t>
      </w:r>
    </w:p>
    <w:p w:rsidR="00887DF9" w:rsidRDefault="0066532D" w:rsidP="007A2109">
      <w:pPr>
        <w:contextualSpacing/>
        <w:mirrorIndents/>
        <w:jc w:val="center"/>
        <w:rPr>
          <w:b/>
        </w:rPr>
      </w:pPr>
      <w:r>
        <w:rPr>
          <w:b/>
        </w:rPr>
        <w:t>Sampling Error</w:t>
      </w:r>
    </w:p>
    <w:p w:rsidR="00887DF9" w:rsidRPr="00E13B27" w:rsidRDefault="0066532D" w:rsidP="00E13B27">
      <w:pPr>
        <w:ind w:firstLine="720"/>
        <w:contextualSpacing/>
        <w:mirrorIndents/>
      </w:pPr>
      <w:r w:rsidRPr="00E13B27">
        <w:t xml:space="preserve">The sample size is quite extensive, making the </w:t>
      </w:r>
      <w:r w:rsidR="00497A04">
        <w:t>chances of sampling error to be reduced.</w:t>
      </w:r>
      <w:r w:rsidR="00FA5E7A">
        <w:t xml:space="preserve"> However, the representation of th</w:t>
      </w:r>
      <w:r w:rsidR="00F215A0">
        <w:t>e community health workers per state may not be appropriate. The mistake that may also occur during sampling is selecting only female community health workers who are the dominant gender in the occupation</w:t>
      </w:r>
      <w:r w:rsidR="00B35288">
        <w:t xml:space="preserve"> (</w:t>
      </w:r>
      <w:r w:rsidR="00B35288" w:rsidRPr="00B35288">
        <w:t>Jack et al., 2017</w:t>
      </w:r>
      <w:r w:rsidR="00B35288">
        <w:t>)</w:t>
      </w:r>
      <w:r w:rsidR="00F215A0">
        <w:t xml:space="preserve">. Male community health workers will be sampled with precision to ensure a representative sample that enables adequate representation. </w:t>
      </w:r>
    </w:p>
    <w:p w:rsidR="00AF73A3" w:rsidRDefault="0066532D" w:rsidP="007A2109">
      <w:pPr>
        <w:contextualSpacing/>
        <w:mirrorIndents/>
        <w:jc w:val="center"/>
        <w:rPr>
          <w:b/>
        </w:rPr>
      </w:pPr>
      <w:r>
        <w:rPr>
          <w:b/>
        </w:rPr>
        <w:t xml:space="preserve">Sample </w:t>
      </w:r>
      <w:r w:rsidR="007A2109">
        <w:rPr>
          <w:b/>
        </w:rPr>
        <w:t>Size</w:t>
      </w:r>
    </w:p>
    <w:p w:rsidR="00AF73A3" w:rsidRDefault="0066532D" w:rsidP="00F215A0">
      <w:pPr>
        <w:ind w:firstLine="720"/>
        <w:contextualSpacing/>
        <w:mirrorIndents/>
      </w:pPr>
      <w:r w:rsidRPr="00F215A0">
        <w:t>The sample size</w:t>
      </w:r>
      <w:r>
        <w:t xml:space="preserve"> is the number of community health workers include in the study. The number is denoted by n and is used to influence two essential aspects of the study. One statistical aspect is the precision of the estimate and the study's power to be reliable to conclu</w:t>
      </w:r>
      <w:r w:rsidR="002B3FA6">
        <w:t xml:space="preserve">de the population. The sample size is about 10% of the population. This study targets a population of over 18 million community health workers in the United States. </w:t>
      </w:r>
      <w:r w:rsidR="002B3FA6">
        <w:lastRenderedPageBreak/>
        <w:t>Therefore our sample size is supposed to be approximately 1.8 million community health workers. However, this is also an enormous figure to sample, requiring us to get a representative sample for a few thousand health workers. These are in consideration of our research that we are interested in health by community health workers</w:t>
      </w:r>
      <w:r w:rsidR="00255FF0">
        <w:t xml:space="preserve"> (Lindgren, </w:t>
      </w:r>
      <w:r w:rsidR="00255FF0" w:rsidRPr="00255FF0">
        <w:t>2017</w:t>
      </w:r>
      <w:r w:rsidR="00255FF0">
        <w:t>)</w:t>
      </w:r>
      <w:r w:rsidR="002D259D">
        <w:t xml:space="preserve">. The study is based on personal experience and the roles each health worker plays in the community. They serve to administer health and bridge the gap between public and community health. </w:t>
      </w:r>
    </w:p>
    <w:p w:rsidR="00C84B20" w:rsidRDefault="0066532D" w:rsidP="00F215A0">
      <w:pPr>
        <w:ind w:firstLine="720"/>
        <w:contextualSpacing/>
        <w:mirrorIndents/>
      </w:pPr>
      <w:r>
        <w:t xml:space="preserve">Guidelines </w:t>
      </w:r>
    </w:p>
    <w:p w:rsidR="00C84B20" w:rsidRDefault="0066532D" w:rsidP="00F215A0">
      <w:pPr>
        <w:ind w:firstLine="720"/>
        <w:contextualSpacing/>
        <w:mirrorIndents/>
      </w:pPr>
      <w:r>
        <w:t>a. Desired level of confidence is approximately 95%</w:t>
      </w:r>
    </w:p>
    <w:p w:rsidR="00C84B20" w:rsidRDefault="0066532D" w:rsidP="00F215A0">
      <w:pPr>
        <w:ind w:firstLine="720"/>
        <w:contextualSpacing/>
        <w:mirrorIndents/>
      </w:pPr>
      <w:r>
        <w:t xml:space="preserve">b. </w:t>
      </w:r>
      <w:r>
        <w:t>Margin of error is approximately +/- 3%</w:t>
      </w:r>
    </w:p>
    <w:p w:rsidR="00C84B20" w:rsidRDefault="0066532D" w:rsidP="00F215A0">
      <w:pPr>
        <w:ind w:firstLine="720"/>
        <w:contextualSpacing/>
        <w:mirrorIndents/>
      </w:pPr>
      <w:r>
        <w:t>c. Variability of the population is about 180,000 community health workers.</w:t>
      </w:r>
    </w:p>
    <w:p w:rsidR="00C84B20" w:rsidRDefault="0066532D" w:rsidP="00F215A0">
      <w:pPr>
        <w:ind w:firstLine="720"/>
        <w:contextualSpacing/>
        <w:mirrorIndents/>
      </w:pPr>
      <w:r>
        <w:t>d. size of a population is around 18 million community health workers.</w:t>
      </w:r>
    </w:p>
    <w:p w:rsidR="00C84B20" w:rsidRDefault="0066532D" w:rsidP="00F215A0">
      <w:pPr>
        <w:ind w:firstLine="720"/>
        <w:contextualSpacing/>
        <w:mirrorIndents/>
      </w:pPr>
      <w:r>
        <w:t>Results</w:t>
      </w:r>
    </w:p>
    <w:p w:rsidR="00C84B20" w:rsidRPr="007A2109" w:rsidRDefault="0066532D" w:rsidP="007A2109">
      <w:pPr>
        <w:ind w:left="720" w:hanging="720"/>
        <w:contextualSpacing/>
        <w:mirrorIndents/>
      </w:pPr>
      <w:r w:rsidRPr="007A2109">
        <w:rPr>
          <w:color w:val="222222"/>
          <w:shd w:val="clear" w:color="auto" w:fill="FFFFFF"/>
        </w:rPr>
        <w:t>Shan, G., Bernick, C., &amp; Banks, S. (2018). Sample size determ</w:t>
      </w:r>
      <w:r w:rsidRPr="007A2109">
        <w:rPr>
          <w:color w:val="222222"/>
          <w:shd w:val="clear" w:color="auto" w:fill="FFFFFF"/>
        </w:rPr>
        <w:t>ination for a matched</w:t>
      </w:r>
      <w:r w:rsidRPr="007A2109">
        <w:rPr>
          <w:color w:val="222222"/>
          <w:shd w:val="clear" w:color="auto" w:fill="FFFFFF"/>
        </w:rPr>
        <w:t>‐</w:t>
      </w:r>
      <w:r w:rsidRPr="007A2109">
        <w:rPr>
          <w:color w:val="222222"/>
          <w:shd w:val="clear" w:color="auto" w:fill="FFFFFF"/>
        </w:rPr>
        <w:t xml:space="preserve">pairs study with incomplete data using the exact approach. </w:t>
      </w:r>
      <w:r w:rsidRPr="007A2109">
        <w:rPr>
          <w:i/>
          <w:iCs/>
          <w:color w:val="222222"/>
          <w:shd w:val="clear" w:color="auto" w:fill="FFFFFF"/>
        </w:rPr>
        <w:t>British Journal of Mathematical and Statistical Psychology</w:t>
      </w:r>
      <w:r w:rsidRPr="007A2109">
        <w:rPr>
          <w:color w:val="222222"/>
          <w:shd w:val="clear" w:color="auto" w:fill="FFFFFF"/>
        </w:rPr>
        <w:t>, </w:t>
      </w:r>
      <w:r w:rsidRPr="007A2109">
        <w:rPr>
          <w:i/>
          <w:iCs/>
          <w:color w:val="222222"/>
          <w:shd w:val="clear" w:color="auto" w:fill="FFFFFF"/>
        </w:rPr>
        <w:t>71</w:t>
      </w:r>
      <w:r w:rsidRPr="007A2109">
        <w:rPr>
          <w:color w:val="222222"/>
          <w:shd w:val="clear" w:color="auto" w:fill="FFFFFF"/>
        </w:rPr>
        <w:t>(1), 60-74.</w:t>
      </w:r>
    </w:p>
    <w:p w:rsidR="00AF73A3" w:rsidRDefault="0066532D" w:rsidP="007A2109">
      <w:pPr>
        <w:contextualSpacing/>
        <w:mirrorIndents/>
        <w:jc w:val="center"/>
        <w:rPr>
          <w:b/>
        </w:rPr>
      </w:pPr>
      <w:r w:rsidRPr="00AF73A3">
        <w:rPr>
          <w:b/>
        </w:rPr>
        <w:t>Coverage Error</w:t>
      </w:r>
    </w:p>
    <w:p w:rsidR="00887DF9" w:rsidRPr="00887DF9" w:rsidRDefault="0066532D" w:rsidP="00255FF0">
      <w:pPr>
        <w:ind w:firstLine="720"/>
        <w:contextualSpacing/>
        <w:mirrorIndents/>
      </w:pPr>
      <w:r w:rsidRPr="0012271A">
        <w:t>The research entails data collection from a colossal respondent within a large and div</w:t>
      </w:r>
      <w:r w:rsidRPr="0012271A">
        <w:t xml:space="preserve">erse locality. The </w:t>
      </w:r>
      <w:r w:rsidR="002D259D" w:rsidRPr="0012271A">
        <w:t xml:space="preserve">study data </w:t>
      </w:r>
      <w:r w:rsidRPr="0012271A">
        <w:t>cannot be collected physically but electronic</w:t>
      </w:r>
      <w:r w:rsidR="00255FF0">
        <w:t>ally using</w:t>
      </w:r>
      <w:r w:rsidR="00255FF0">
        <w:rPr>
          <w:b/>
        </w:rPr>
        <w:t xml:space="preserve"> </w:t>
      </w:r>
      <w:r w:rsidR="00255FF0" w:rsidRPr="00EE0834">
        <w:t xml:space="preserve">emails to reach community health workers. These will be the cheapest means of administering the surveys and getting enough responses to meet the desired sample size. </w:t>
      </w:r>
      <w:r w:rsidRPr="00EE0834">
        <w:t xml:space="preserve">The </w:t>
      </w:r>
      <w:r w:rsidRPr="00887DF9">
        <w:t xml:space="preserve">adequate sample size </w:t>
      </w:r>
      <w:r w:rsidR="00255FF0">
        <w:t xml:space="preserve">for the research will be 180,000 community health workers without the order of where they are located within the United States. </w:t>
      </w:r>
    </w:p>
    <w:p w:rsidR="00255FF0" w:rsidRPr="007A2109" w:rsidRDefault="0066532D" w:rsidP="002E5743">
      <w:pPr>
        <w:ind w:firstLine="720"/>
        <w:contextualSpacing/>
        <w:mirrorIndents/>
        <w:rPr>
          <w:b/>
        </w:rPr>
      </w:pPr>
      <w:r w:rsidRPr="007A2109">
        <w:rPr>
          <w:b/>
        </w:rPr>
        <w:t>R</w:t>
      </w:r>
      <w:r w:rsidR="00887DF9" w:rsidRPr="007A2109">
        <w:rPr>
          <w:b/>
        </w:rPr>
        <w:t>easoning</w:t>
      </w:r>
      <w:bookmarkStart w:id="0" w:name="_GoBack"/>
      <w:bookmarkEnd w:id="0"/>
    </w:p>
    <w:p w:rsidR="00EE0834" w:rsidRPr="00887DF9" w:rsidRDefault="0066532D" w:rsidP="00DC38E6">
      <w:pPr>
        <w:ind w:firstLine="720"/>
        <w:contextualSpacing/>
        <w:mirrorIndents/>
      </w:pPr>
      <w:r>
        <w:lastRenderedPageBreak/>
        <w:t>The sample size of 180,000 will be adequate to identify; 1—the different roles associated with the community health workers, 2. The extent of public health delivery to the underserved communities, 3. The challenges related to community health workers, 4. T</w:t>
      </w:r>
      <w:r>
        <w:t>he main challenge of bridging community and public health, and 5. A community health worker's crucial role as the link between the public and community health worker</w:t>
      </w:r>
      <w:r w:rsidR="00B35288">
        <w:t xml:space="preserve"> (</w:t>
      </w:r>
      <w:r w:rsidR="00B35288" w:rsidRPr="00B35288">
        <w:t>Jack</w:t>
      </w:r>
      <w:r w:rsidR="00B35288">
        <w:t xml:space="preserve"> et al., 2017)</w:t>
      </w:r>
      <w:r>
        <w:t>.</w:t>
      </w:r>
    </w:p>
    <w:p w:rsidR="00887DF9" w:rsidRDefault="0066532D" w:rsidP="002E5743">
      <w:pPr>
        <w:ind w:firstLine="720"/>
        <w:contextualSpacing/>
        <w:mirrorIndents/>
      </w:pPr>
      <w:r>
        <w:t>The sample size is acquired from an online sample size determiner for</w:t>
      </w:r>
      <w:r>
        <w:t xml:space="preserve"> large populations' surveys for market research. The site considered that a small sample size inappropriate, causing a high number of outliers and anomalies. In contrast, a significant sample size would make the study too complex, expensive and time-consum</w:t>
      </w:r>
      <w:r>
        <w:t>ing</w:t>
      </w:r>
      <w:r w:rsidR="00B35288">
        <w:t xml:space="preserve"> (Lindgren, </w:t>
      </w:r>
      <w:r w:rsidR="00B35288" w:rsidRPr="00B35288">
        <w:t>2017</w:t>
      </w:r>
      <w:r w:rsidR="00B35288">
        <w:t>)</w:t>
      </w:r>
      <w:r>
        <w:t>. The extensive sample has the advantage of being very accurate and precise, but the cost will always outweigh the benefits. Therefore, no matter how big a population is, an adequate sample size is of utmost import</w:t>
      </w:r>
      <w:r w:rsidR="00DC38E6">
        <w:t>ance.</w:t>
      </w:r>
    </w:p>
    <w:p w:rsidR="00887DF9" w:rsidRDefault="0066532D" w:rsidP="002E5743">
      <w:pPr>
        <w:ind w:firstLine="720"/>
        <w:contextualSpacing/>
        <w:mirrorIndents/>
        <w:jc w:val="center"/>
        <w:rPr>
          <w:b/>
        </w:rPr>
      </w:pPr>
      <w:r w:rsidRPr="00887DF9">
        <w:rPr>
          <w:b/>
        </w:rPr>
        <w:t>Sampling Methodo</w:t>
      </w:r>
      <w:r w:rsidRPr="00887DF9">
        <w:rPr>
          <w:b/>
        </w:rPr>
        <w:t>logy</w:t>
      </w:r>
      <w:r>
        <w:rPr>
          <w:b/>
        </w:rPr>
        <w:t>/Approach</w:t>
      </w:r>
    </w:p>
    <w:p w:rsidR="003A672A" w:rsidRDefault="0066532D" w:rsidP="002E5743">
      <w:pPr>
        <w:ind w:firstLine="720"/>
        <w:contextualSpacing/>
        <w:mirrorIndents/>
      </w:pPr>
      <w:r>
        <w:t xml:space="preserve">The technique of probability sampling allows the researcher to be assured of the credibility of his study. It eliminates the chances of a biased sample. </w:t>
      </w:r>
      <w:r w:rsidRPr="00DC38E6">
        <w:t>The best sampling methodology identified for this research is a simple random sampling</w:t>
      </w:r>
      <w:r w:rsidR="00B35288">
        <w:t xml:space="preserve"> (Lindgren, </w:t>
      </w:r>
      <w:r w:rsidR="00B35288" w:rsidRPr="00B35288">
        <w:t>2017</w:t>
      </w:r>
      <w:r w:rsidR="00B35288">
        <w:t>)</w:t>
      </w:r>
      <w:r w:rsidRPr="00DC38E6">
        <w:t xml:space="preserve">. </w:t>
      </w:r>
      <w:r>
        <w:t xml:space="preserve">The simple random selection consists of the following steps for its implementation:  </w:t>
      </w:r>
    </w:p>
    <w:p w:rsidR="00DC38E6" w:rsidRDefault="0066532D" w:rsidP="002E5743">
      <w:pPr>
        <w:ind w:firstLine="720"/>
        <w:contextualSpacing/>
        <w:mirrorIndents/>
      </w:pPr>
      <w:r>
        <w:t xml:space="preserve">1. Identification of the target population using the appropriate operational definitions. </w:t>
      </w:r>
    </w:p>
    <w:p w:rsidR="00DC38E6" w:rsidRDefault="0066532D" w:rsidP="002E5743">
      <w:pPr>
        <w:ind w:firstLine="720"/>
        <w:contextualSpacing/>
        <w:mirrorIndents/>
      </w:pPr>
      <w:r>
        <w:t xml:space="preserve">2. Determination of the sampling frame and the possible errors </w:t>
      </w:r>
      <w:r>
        <w:t>associated with sampling and coverage.</w:t>
      </w:r>
    </w:p>
    <w:p w:rsidR="00DC38E6" w:rsidRDefault="0066532D" w:rsidP="002E5743">
      <w:pPr>
        <w:ind w:firstLine="720"/>
        <w:contextualSpacing/>
        <w:mirrorIndents/>
      </w:pPr>
      <w:r>
        <w:t xml:space="preserve">3. </w:t>
      </w:r>
      <w:r w:rsidR="008B1CA1">
        <w:t>Determination</w:t>
      </w:r>
      <w:r>
        <w:t xml:space="preserve"> of the sample size</w:t>
      </w:r>
      <w:r w:rsidR="008B1CA1">
        <w:t>.</w:t>
      </w:r>
    </w:p>
    <w:p w:rsidR="00DC38E6" w:rsidRPr="008B1CA1" w:rsidRDefault="0066532D" w:rsidP="008B1CA1">
      <w:pPr>
        <w:ind w:firstLine="720"/>
        <w:contextualSpacing/>
        <w:mirrorIndents/>
      </w:pPr>
      <w:r>
        <w:lastRenderedPageBreak/>
        <w:t>4. The definite specification of the sampling plan.</w:t>
      </w:r>
    </w:p>
    <w:p w:rsidR="00887DF9" w:rsidRPr="00284965" w:rsidRDefault="0066532D" w:rsidP="002E5743">
      <w:pPr>
        <w:ind w:firstLine="720"/>
        <w:contextualSpacing/>
        <w:mirrorIndents/>
        <w:jc w:val="center"/>
        <w:rPr>
          <w:b/>
        </w:rPr>
      </w:pPr>
      <w:r w:rsidRPr="00284965">
        <w:rPr>
          <w:b/>
        </w:rPr>
        <w:t>Modes of survey administration</w:t>
      </w:r>
    </w:p>
    <w:p w:rsidR="00284965" w:rsidRDefault="0066532D" w:rsidP="002E5743">
      <w:pPr>
        <w:ind w:firstLine="720"/>
        <w:contextualSpacing/>
        <w:mirrorIndents/>
      </w:pPr>
      <w:r>
        <w:t>Consider</w:t>
      </w:r>
      <w:r w:rsidR="0095720F">
        <w:t>ing</w:t>
      </w:r>
      <w:r>
        <w:t xml:space="preserve"> the response rate</w:t>
      </w:r>
      <w:r w:rsidR="0095720F">
        <w:t xml:space="preserve"> needed for all the sample size of 180,000, I will contact at least 360,000 community health workers. The double number of individuals I will</w:t>
      </w:r>
      <w:r>
        <w:t xml:space="preserve"> get</w:t>
      </w:r>
      <w:r w:rsidR="0095720F">
        <w:t xml:space="preserve"> will ensure I </w:t>
      </w:r>
      <w:r>
        <w:t>receive an adequate number response rate</w:t>
      </w:r>
      <w:r w:rsidR="0095720F">
        <w:t>. Assuming there will be a 50% response rate to my emails. The survey will take two weeks to one month.</w:t>
      </w:r>
    </w:p>
    <w:p w:rsidR="00284965" w:rsidRDefault="0066532D" w:rsidP="002E5743">
      <w:pPr>
        <w:ind w:firstLine="720"/>
        <w:contextualSpacing/>
        <w:mirrorIndents/>
      </w:pPr>
      <w:r>
        <w:t>The main d</w:t>
      </w:r>
      <w:r w:rsidR="00BC19AF">
        <w:t>isadvantages</w:t>
      </w:r>
      <w:r>
        <w:t xml:space="preserve"> you anticipated of this model include; false information from people who are not community health workers as they try to get the incentive. Multiple responses from the same community he</w:t>
      </w:r>
      <w:r>
        <w:t>alth care workers as the motivation is liable to any person who fills the form, but with a different email and health worker credentials. The survey questionnaire helps community health c</w:t>
      </w:r>
      <w:r w:rsidR="0095720F">
        <w:t>are</w:t>
      </w:r>
      <w:r>
        <w:t xml:space="preserve"> </w:t>
      </w:r>
      <w:r w:rsidR="0095720F">
        <w:t>workers who have emails registered with the health care system</w:t>
      </w:r>
      <w:r w:rsidR="00B35288">
        <w:t xml:space="preserve"> (</w:t>
      </w:r>
      <w:r w:rsidR="00B35288" w:rsidRPr="00B35288">
        <w:t>Shan et al., 2018</w:t>
      </w:r>
      <w:r w:rsidR="00B35288">
        <w:t>)</w:t>
      </w:r>
      <w:r w:rsidR="0095720F">
        <w:t xml:space="preserve">. Community health workers who do not have access to the internet due to their nature of work or area of operations may not be included in the sample. The majority of the respondents will be motivated to answer the survey due to the incentive but not the researcher's delivery of valuable information. </w:t>
      </w:r>
    </w:p>
    <w:p w:rsidR="00BC19AF" w:rsidRDefault="0066532D" w:rsidP="002E5743">
      <w:pPr>
        <w:ind w:firstLine="720"/>
        <w:contextualSpacing/>
        <w:mirrorIndents/>
      </w:pPr>
      <w:r>
        <w:t>The decision factors to include that will increase the response rate is ensuring compensation for the response</w:t>
      </w:r>
      <w:r w:rsidR="00B963DF">
        <w:t xml:space="preserve">. Every health worker must provide the details to verify they are community health workers, whether registered or not. To increase the chances of a reply, each respondent will receive $1 to fill up the survey form. </w:t>
      </w:r>
    </w:p>
    <w:p w:rsidR="00BC19AF" w:rsidRDefault="0066532D" w:rsidP="002E5743">
      <w:pPr>
        <w:ind w:firstLine="720"/>
        <w:contextualSpacing/>
        <w:mirrorIndents/>
        <w:jc w:val="center"/>
        <w:rPr>
          <w:b/>
        </w:rPr>
      </w:pPr>
      <w:r w:rsidRPr="00BC19AF">
        <w:rPr>
          <w:b/>
        </w:rPr>
        <w:t>Budget Estimates</w:t>
      </w:r>
    </w:p>
    <w:p w:rsidR="008B1CA1" w:rsidRPr="008B1CA1" w:rsidRDefault="0066532D" w:rsidP="008B1CA1">
      <w:pPr>
        <w:ind w:firstLine="720"/>
        <w:contextualSpacing/>
        <w:mirrorIndents/>
      </w:pPr>
      <w:r w:rsidRPr="008B1CA1">
        <w:t>The estimated budgetary expenses</w:t>
      </w:r>
      <w:r w:rsidR="00E942F8">
        <w:t>, including the development and mailing of survey questionnaires</w:t>
      </w:r>
      <w:r w:rsidR="007376F2">
        <w:t>, an incentive for the respondents who participate in the questionnaire, data collection, analysis, interpretation, and presentation purposes, are estimated at $10</w:t>
      </w:r>
      <w:r w:rsidR="006E71A5">
        <w:t>0,0</w:t>
      </w:r>
      <w:r w:rsidR="007376F2">
        <w:t xml:space="preserve">00. </w:t>
      </w:r>
      <w:r w:rsidR="0095720F">
        <w:t xml:space="preserve">There </w:t>
      </w:r>
      <w:r w:rsidR="0095720F">
        <w:lastRenderedPageBreak/>
        <w:t>will be an additional cost associated with obtaining official information of the community health workers from the health care system databases (</w:t>
      </w:r>
      <w:r w:rsidR="0095720F" w:rsidRPr="0095720F">
        <w:t>Shan</w:t>
      </w:r>
      <w:r w:rsidR="00B35288">
        <w:t xml:space="preserve"> et al., </w:t>
      </w:r>
      <w:r w:rsidR="0095720F" w:rsidRPr="0095720F">
        <w:t>2018</w:t>
      </w:r>
      <w:r w:rsidR="0095720F">
        <w:t xml:space="preserve">). </w:t>
      </w:r>
    </w:p>
    <w:p w:rsidR="00BC19AF" w:rsidRDefault="00BC19AF" w:rsidP="002E5743">
      <w:pPr>
        <w:ind w:firstLine="720"/>
        <w:contextualSpacing/>
        <w:mirrorIndents/>
        <w:jc w:val="center"/>
        <w:rPr>
          <w:b/>
        </w:rPr>
      </w:pPr>
    </w:p>
    <w:p w:rsidR="00BC19AF" w:rsidRDefault="00BC19AF" w:rsidP="00BC19AF">
      <w:pPr>
        <w:jc w:val="center"/>
        <w:rPr>
          <w:b/>
        </w:rPr>
      </w:pPr>
    </w:p>
    <w:p w:rsidR="00BC19AF" w:rsidRDefault="00BC19AF" w:rsidP="00BC19AF">
      <w:pPr>
        <w:jc w:val="center"/>
        <w:rPr>
          <w:b/>
        </w:rPr>
      </w:pPr>
    </w:p>
    <w:p w:rsidR="00BC19AF" w:rsidRDefault="00BC19AF" w:rsidP="00BC19AF">
      <w:pPr>
        <w:jc w:val="center"/>
        <w:rPr>
          <w:b/>
        </w:rPr>
      </w:pPr>
    </w:p>
    <w:p w:rsidR="00BC19AF" w:rsidRDefault="00BC19AF" w:rsidP="00BC19AF">
      <w:pPr>
        <w:jc w:val="center"/>
        <w:rPr>
          <w:b/>
        </w:rPr>
      </w:pPr>
    </w:p>
    <w:p w:rsidR="00BC19AF" w:rsidRDefault="0066532D">
      <w:pPr>
        <w:rPr>
          <w:b/>
        </w:rPr>
      </w:pPr>
      <w:r>
        <w:rPr>
          <w:b/>
        </w:rPr>
        <w:br w:type="page"/>
      </w:r>
    </w:p>
    <w:p w:rsidR="00BC19AF" w:rsidRPr="00BC19AF" w:rsidRDefault="0066532D" w:rsidP="00BC19AF">
      <w:pPr>
        <w:jc w:val="center"/>
        <w:rPr>
          <w:b/>
        </w:rPr>
      </w:pPr>
      <w:r>
        <w:rPr>
          <w:b/>
        </w:rPr>
        <w:lastRenderedPageBreak/>
        <w:t xml:space="preserve">References </w:t>
      </w:r>
    </w:p>
    <w:p w:rsidR="00C84B20" w:rsidRPr="00C84B20" w:rsidRDefault="0066532D" w:rsidP="00255FF0">
      <w:pPr>
        <w:ind w:left="720" w:hanging="720"/>
        <w:contextualSpacing/>
        <w:mirrorIndents/>
        <w:rPr>
          <w:color w:val="222222"/>
          <w:shd w:val="clear" w:color="auto" w:fill="FFFFFF"/>
        </w:rPr>
      </w:pPr>
      <w:r w:rsidRPr="00C84B20">
        <w:rPr>
          <w:color w:val="222222"/>
          <w:shd w:val="clear" w:color="auto" w:fill="FFFFFF"/>
        </w:rPr>
        <w:t>Jack, H. E., Arabadjis, S. D., Sun, L., Sullivan, E. E., &amp; Phillips, R. S. (2017). Impact of community health workers on the use of healthcare services in</w:t>
      </w:r>
      <w:r w:rsidRPr="00C84B20">
        <w:rPr>
          <w:color w:val="222222"/>
          <w:shd w:val="clear" w:color="auto" w:fill="FFFFFF"/>
        </w:rPr>
        <w:t xml:space="preserve"> the United States: a systematic review. </w:t>
      </w:r>
      <w:r w:rsidRPr="00C84B20">
        <w:rPr>
          <w:i/>
          <w:iCs/>
          <w:color w:val="222222"/>
          <w:shd w:val="clear" w:color="auto" w:fill="FFFFFF"/>
        </w:rPr>
        <w:t>Journal of general internal medicine</w:t>
      </w:r>
      <w:r w:rsidRPr="00C84B20">
        <w:rPr>
          <w:color w:val="222222"/>
          <w:shd w:val="clear" w:color="auto" w:fill="FFFFFF"/>
        </w:rPr>
        <w:t>, </w:t>
      </w:r>
      <w:r w:rsidRPr="00C84B20">
        <w:rPr>
          <w:i/>
          <w:iCs/>
          <w:color w:val="222222"/>
          <w:shd w:val="clear" w:color="auto" w:fill="FFFFFF"/>
        </w:rPr>
        <w:t>32</w:t>
      </w:r>
      <w:r w:rsidRPr="00C84B20">
        <w:rPr>
          <w:color w:val="222222"/>
          <w:shd w:val="clear" w:color="auto" w:fill="FFFFFF"/>
        </w:rPr>
        <w:t xml:space="preserve">(3), 325-344. </w:t>
      </w:r>
    </w:p>
    <w:p w:rsidR="00C84B20" w:rsidRPr="00C84B20" w:rsidRDefault="0066532D" w:rsidP="00255FF0">
      <w:pPr>
        <w:ind w:left="720" w:hanging="720"/>
        <w:contextualSpacing/>
        <w:mirrorIndents/>
        <w:rPr>
          <w:color w:val="222222"/>
          <w:shd w:val="clear" w:color="auto" w:fill="FFFFFF"/>
        </w:rPr>
      </w:pPr>
      <w:r w:rsidRPr="00C84B20">
        <w:rPr>
          <w:color w:val="222222"/>
          <w:shd w:val="clear" w:color="auto" w:fill="FFFFFF"/>
        </w:rPr>
        <w:t>Lindgren, B. (2017). </w:t>
      </w:r>
      <w:r w:rsidRPr="00C84B20">
        <w:rPr>
          <w:i/>
          <w:iCs/>
          <w:color w:val="222222"/>
          <w:shd w:val="clear" w:color="auto" w:fill="FFFFFF"/>
        </w:rPr>
        <w:t>Statistical theory</w:t>
      </w:r>
      <w:r w:rsidRPr="00C84B20">
        <w:rPr>
          <w:color w:val="222222"/>
          <w:shd w:val="clear" w:color="auto" w:fill="FFFFFF"/>
        </w:rPr>
        <w:t xml:space="preserve">. Routledge. </w:t>
      </w:r>
    </w:p>
    <w:p w:rsidR="00C84B20" w:rsidRPr="00C84B20" w:rsidRDefault="0066532D" w:rsidP="00255FF0">
      <w:pPr>
        <w:ind w:left="720" w:hanging="720"/>
        <w:contextualSpacing/>
        <w:mirrorIndents/>
        <w:rPr>
          <w:color w:val="222222"/>
          <w:shd w:val="clear" w:color="auto" w:fill="FFFFFF"/>
        </w:rPr>
      </w:pPr>
      <w:r w:rsidRPr="00C84B20">
        <w:rPr>
          <w:color w:val="222222"/>
          <w:shd w:val="clear" w:color="auto" w:fill="FFFFFF"/>
        </w:rPr>
        <w:t>Scott, K., Beckham, S. W., Gross, M., Pariyo, G., Rao, K. D., Cometto, G., &amp; Perry, H. B. (2018). What do w</w:t>
      </w:r>
      <w:r w:rsidRPr="00C84B20">
        <w:rPr>
          <w:color w:val="222222"/>
          <w:shd w:val="clear" w:color="auto" w:fill="FFFFFF"/>
        </w:rPr>
        <w:t>e know about community-based health worker programs? A systematic review of existing reviews on community health workers. </w:t>
      </w:r>
      <w:r w:rsidRPr="00C84B20">
        <w:rPr>
          <w:i/>
          <w:iCs/>
          <w:color w:val="222222"/>
          <w:shd w:val="clear" w:color="auto" w:fill="FFFFFF"/>
        </w:rPr>
        <w:t>Human resources for health</w:t>
      </w:r>
      <w:r w:rsidRPr="00C84B20">
        <w:rPr>
          <w:color w:val="222222"/>
          <w:shd w:val="clear" w:color="auto" w:fill="FFFFFF"/>
        </w:rPr>
        <w:t>, </w:t>
      </w:r>
      <w:r w:rsidRPr="00C84B20">
        <w:rPr>
          <w:i/>
          <w:iCs/>
          <w:color w:val="222222"/>
          <w:shd w:val="clear" w:color="auto" w:fill="FFFFFF"/>
        </w:rPr>
        <w:t>16</w:t>
      </w:r>
      <w:r w:rsidRPr="00C84B20">
        <w:rPr>
          <w:color w:val="222222"/>
          <w:shd w:val="clear" w:color="auto" w:fill="FFFFFF"/>
        </w:rPr>
        <w:t xml:space="preserve">(1), 1-17. </w:t>
      </w:r>
    </w:p>
    <w:p w:rsidR="00887DF9" w:rsidRPr="00C84B20" w:rsidRDefault="0066532D" w:rsidP="00255FF0">
      <w:pPr>
        <w:ind w:left="720" w:hanging="720"/>
        <w:contextualSpacing/>
        <w:mirrorIndents/>
        <w:rPr>
          <w:b/>
        </w:rPr>
      </w:pPr>
      <w:r w:rsidRPr="00C84B20">
        <w:rPr>
          <w:color w:val="222222"/>
          <w:shd w:val="clear" w:color="auto" w:fill="FFFFFF"/>
        </w:rPr>
        <w:t>Shan, G., Bernick, C., &amp; Banks, S. (2018). Sample size determination for a matched</w:t>
      </w:r>
      <w:r w:rsidRPr="00C84B20">
        <w:rPr>
          <w:rFonts w:ascii="Cambria Math" w:hAnsi="Cambria Math" w:cs="Cambria Math"/>
          <w:color w:val="222222"/>
          <w:shd w:val="clear" w:color="auto" w:fill="FFFFFF"/>
        </w:rPr>
        <w:t>‐</w:t>
      </w:r>
      <w:r w:rsidRPr="00C84B20">
        <w:rPr>
          <w:color w:val="222222"/>
          <w:shd w:val="clear" w:color="auto" w:fill="FFFFFF"/>
        </w:rPr>
        <w:t>pairs stu</w:t>
      </w:r>
      <w:r w:rsidRPr="00C84B20">
        <w:rPr>
          <w:color w:val="222222"/>
          <w:shd w:val="clear" w:color="auto" w:fill="FFFFFF"/>
        </w:rPr>
        <w:t xml:space="preserve">dy with incomplete data using the exact approach. </w:t>
      </w:r>
      <w:r w:rsidRPr="00C84B20">
        <w:rPr>
          <w:i/>
          <w:iCs/>
          <w:color w:val="222222"/>
          <w:shd w:val="clear" w:color="auto" w:fill="FFFFFF"/>
        </w:rPr>
        <w:t>British Journal of Mathematical and Statistical Psychology</w:t>
      </w:r>
      <w:r w:rsidRPr="00C84B20">
        <w:rPr>
          <w:color w:val="222222"/>
          <w:shd w:val="clear" w:color="auto" w:fill="FFFFFF"/>
        </w:rPr>
        <w:t>, </w:t>
      </w:r>
      <w:r w:rsidRPr="00C84B20">
        <w:rPr>
          <w:i/>
          <w:iCs/>
          <w:color w:val="222222"/>
          <w:shd w:val="clear" w:color="auto" w:fill="FFFFFF"/>
        </w:rPr>
        <w:t>71</w:t>
      </w:r>
      <w:r w:rsidRPr="00C84B20">
        <w:rPr>
          <w:color w:val="222222"/>
          <w:shd w:val="clear" w:color="auto" w:fill="FFFFFF"/>
        </w:rPr>
        <w:t>(1), 60-74.</w:t>
      </w:r>
    </w:p>
    <w:sectPr w:rsidR="00887DF9" w:rsidRPr="00C84B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2D" w:rsidRDefault="0066532D">
      <w:pPr>
        <w:spacing w:line="240" w:lineRule="auto"/>
      </w:pPr>
      <w:r>
        <w:separator/>
      </w:r>
    </w:p>
  </w:endnote>
  <w:endnote w:type="continuationSeparator" w:id="0">
    <w:p w:rsidR="0066532D" w:rsidRDefault="00665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2D" w:rsidRDefault="0066532D">
      <w:pPr>
        <w:spacing w:line="240" w:lineRule="auto"/>
      </w:pPr>
      <w:r>
        <w:separator/>
      </w:r>
    </w:p>
  </w:footnote>
  <w:footnote w:type="continuationSeparator" w:id="0">
    <w:p w:rsidR="0066532D" w:rsidRDefault="006653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675800"/>
      <w:docPartObj>
        <w:docPartGallery w:val="Page Numbers (Top of Page)"/>
        <w:docPartUnique/>
      </w:docPartObj>
    </w:sdtPr>
    <w:sdtEndPr>
      <w:rPr>
        <w:noProof/>
      </w:rPr>
    </w:sdtEndPr>
    <w:sdtContent>
      <w:p w:rsidR="007115C2" w:rsidRDefault="0066532D" w:rsidP="007115C2">
        <w:pPr>
          <w:pStyle w:val="Header"/>
          <w:spacing w:line="480" w:lineRule="auto"/>
          <w:jc w:val="right"/>
        </w:pPr>
        <w:r>
          <w:fldChar w:fldCharType="begin"/>
        </w:r>
        <w:r>
          <w:instrText xml:space="preserve"> PAGE   \* MERGEFORMAT </w:instrText>
        </w:r>
        <w:r>
          <w:fldChar w:fldCharType="separate"/>
        </w:r>
        <w:r w:rsidR="007A2109">
          <w:rPr>
            <w:noProof/>
          </w:rPr>
          <w:t>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A30"/>
    <w:multiLevelType w:val="hybridMultilevel"/>
    <w:tmpl w:val="7114687A"/>
    <w:lvl w:ilvl="0" w:tplc="8140F79E">
      <w:start w:val="1"/>
      <w:numFmt w:val="decimal"/>
      <w:lvlText w:val="%1."/>
      <w:lvlJc w:val="left"/>
      <w:pPr>
        <w:ind w:left="1080" w:hanging="360"/>
      </w:pPr>
      <w:rPr>
        <w:rFonts w:hint="default"/>
      </w:rPr>
    </w:lvl>
    <w:lvl w:ilvl="1" w:tplc="2D709570" w:tentative="1">
      <w:start w:val="1"/>
      <w:numFmt w:val="lowerLetter"/>
      <w:lvlText w:val="%2."/>
      <w:lvlJc w:val="left"/>
      <w:pPr>
        <w:ind w:left="1800" w:hanging="360"/>
      </w:pPr>
    </w:lvl>
    <w:lvl w:ilvl="2" w:tplc="95FA376A" w:tentative="1">
      <w:start w:val="1"/>
      <w:numFmt w:val="lowerRoman"/>
      <w:lvlText w:val="%3."/>
      <w:lvlJc w:val="right"/>
      <w:pPr>
        <w:ind w:left="2520" w:hanging="180"/>
      </w:pPr>
    </w:lvl>
    <w:lvl w:ilvl="3" w:tplc="275EC812" w:tentative="1">
      <w:start w:val="1"/>
      <w:numFmt w:val="decimal"/>
      <w:lvlText w:val="%4."/>
      <w:lvlJc w:val="left"/>
      <w:pPr>
        <w:ind w:left="3240" w:hanging="360"/>
      </w:pPr>
    </w:lvl>
    <w:lvl w:ilvl="4" w:tplc="FA507D26" w:tentative="1">
      <w:start w:val="1"/>
      <w:numFmt w:val="lowerLetter"/>
      <w:lvlText w:val="%5."/>
      <w:lvlJc w:val="left"/>
      <w:pPr>
        <w:ind w:left="3960" w:hanging="360"/>
      </w:pPr>
    </w:lvl>
    <w:lvl w:ilvl="5" w:tplc="C2224D2A" w:tentative="1">
      <w:start w:val="1"/>
      <w:numFmt w:val="lowerRoman"/>
      <w:lvlText w:val="%6."/>
      <w:lvlJc w:val="right"/>
      <w:pPr>
        <w:ind w:left="4680" w:hanging="180"/>
      </w:pPr>
    </w:lvl>
    <w:lvl w:ilvl="6" w:tplc="B5FC2720" w:tentative="1">
      <w:start w:val="1"/>
      <w:numFmt w:val="decimal"/>
      <w:lvlText w:val="%7."/>
      <w:lvlJc w:val="left"/>
      <w:pPr>
        <w:ind w:left="5400" w:hanging="360"/>
      </w:pPr>
    </w:lvl>
    <w:lvl w:ilvl="7" w:tplc="8322136A" w:tentative="1">
      <w:start w:val="1"/>
      <w:numFmt w:val="lowerLetter"/>
      <w:lvlText w:val="%8."/>
      <w:lvlJc w:val="left"/>
      <w:pPr>
        <w:ind w:left="6120" w:hanging="360"/>
      </w:pPr>
    </w:lvl>
    <w:lvl w:ilvl="8" w:tplc="2B6408DC" w:tentative="1">
      <w:start w:val="1"/>
      <w:numFmt w:val="lowerRoman"/>
      <w:lvlText w:val="%9."/>
      <w:lvlJc w:val="right"/>
      <w:pPr>
        <w:ind w:left="6840" w:hanging="180"/>
      </w:pPr>
    </w:lvl>
  </w:abstractNum>
  <w:abstractNum w:abstractNumId="1">
    <w:nsid w:val="1343336B"/>
    <w:multiLevelType w:val="hybridMultilevel"/>
    <w:tmpl w:val="4BDA679A"/>
    <w:lvl w:ilvl="0" w:tplc="8DDEE274">
      <w:start w:val="1"/>
      <w:numFmt w:val="decimal"/>
      <w:lvlText w:val="%1."/>
      <w:lvlJc w:val="left"/>
      <w:pPr>
        <w:ind w:left="720" w:hanging="360"/>
      </w:pPr>
    </w:lvl>
    <w:lvl w:ilvl="1" w:tplc="FA2E4C4A" w:tentative="1">
      <w:start w:val="1"/>
      <w:numFmt w:val="lowerLetter"/>
      <w:lvlText w:val="%2."/>
      <w:lvlJc w:val="left"/>
      <w:pPr>
        <w:ind w:left="1440" w:hanging="360"/>
      </w:pPr>
    </w:lvl>
    <w:lvl w:ilvl="2" w:tplc="05C4928E" w:tentative="1">
      <w:start w:val="1"/>
      <w:numFmt w:val="lowerRoman"/>
      <w:lvlText w:val="%3."/>
      <w:lvlJc w:val="right"/>
      <w:pPr>
        <w:ind w:left="2160" w:hanging="180"/>
      </w:pPr>
    </w:lvl>
    <w:lvl w:ilvl="3" w:tplc="FEA45E44" w:tentative="1">
      <w:start w:val="1"/>
      <w:numFmt w:val="decimal"/>
      <w:lvlText w:val="%4."/>
      <w:lvlJc w:val="left"/>
      <w:pPr>
        <w:ind w:left="2880" w:hanging="360"/>
      </w:pPr>
    </w:lvl>
    <w:lvl w:ilvl="4" w:tplc="E7566748" w:tentative="1">
      <w:start w:val="1"/>
      <w:numFmt w:val="lowerLetter"/>
      <w:lvlText w:val="%5."/>
      <w:lvlJc w:val="left"/>
      <w:pPr>
        <w:ind w:left="3600" w:hanging="360"/>
      </w:pPr>
    </w:lvl>
    <w:lvl w:ilvl="5" w:tplc="95B6FF44" w:tentative="1">
      <w:start w:val="1"/>
      <w:numFmt w:val="lowerRoman"/>
      <w:lvlText w:val="%6."/>
      <w:lvlJc w:val="right"/>
      <w:pPr>
        <w:ind w:left="4320" w:hanging="180"/>
      </w:pPr>
    </w:lvl>
    <w:lvl w:ilvl="6" w:tplc="5E16E958" w:tentative="1">
      <w:start w:val="1"/>
      <w:numFmt w:val="decimal"/>
      <w:lvlText w:val="%7."/>
      <w:lvlJc w:val="left"/>
      <w:pPr>
        <w:ind w:left="5040" w:hanging="360"/>
      </w:pPr>
    </w:lvl>
    <w:lvl w:ilvl="7" w:tplc="8668DF8E" w:tentative="1">
      <w:start w:val="1"/>
      <w:numFmt w:val="lowerLetter"/>
      <w:lvlText w:val="%8."/>
      <w:lvlJc w:val="left"/>
      <w:pPr>
        <w:ind w:left="5760" w:hanging="360"/>
      </w:pPr>
    </w:lvl>
    <w:lvl w:ilvl="8" w:tplc="003C51DC"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774"/>
    <w:rsid w:val="00003CCB"/>
    <w:rsid w:val="00017D6A"/>
    <w:rsid w:val="001158A8"/>
    <w:rsid w:val="0012271A"/>
    <w:rsid w:val="00174BB5"/>
    <w:rsid w:val="00255FF0"/>
    <w:rsid w:val="00284965"/>
    <w:rsid w:val="002B3FA6"/>
    <w:rsid w:val="002D259D"/>
    <w:rsid w:val="002E5743"/>
    <w:rsid w:val="00355707"/>
    <w:rsid w:val="003A672A"/>
    <w:rsid w:val="00401999"/>
    <w:rsid w:val="00497A04"/>
    <w:rsid w:val="0066532D"/>
    <w:rsid w:val="006E71A5"/>
    <w:rsid w:val="007115C2"/>
    <w:rsid w:val="007376F2"/>
    <w:rsid w:val="007A2109"/>
    <w:rsid w:val="007D0BE0"/>
    <w:rsid w:val="00887DF9"/>
    <w:rsid w:val="008B1CA1"/>
    <w:rsid w:val="00912891"/>
    <w:rsid w:val="0095720F"/>
    <w:rsid w:val="009D5CB5"/>
    <w:rsid w:val="00AF73A3"/>
    <w:rsid w:val="00B07774"/>
    <w:rsid w:val="00B35288"/>
    <w:rsid w:val="00B963DF"/>
    <w:rsid w:val="00BC19AF"/>
    <w:rsid w:val="00BC2106"/>
    <w:rsid w:val="00C70780"/>
    <w:rsid w:val="00C84B20"/>
    <w:rsid w:val="00DC38E6"/>
    <w:rsid w:val="00E13B27"/>
    <w:rsid w:val="00E71BD5"/>
    <w:rsid w:val="00E942F8"/>
    <w:rsid w:val="00EE0834"/>
    <w:rsid w:val="00F215A0"/>
    <w:rsid w:val="00F26FAB"/>
    <w:rsid w:val="00FA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5C2"/>
    <w:pPr>
      <w:tabs>
        <w:tab w:val="center" w:pos="4680"/>
        <w:tab w:val="right" w:pos="9360"/>
      </w:tabs>
      <w:spacing w:line="240" w:lineRule="auto"/>
    </w:pPr>
  </w:style>
  <w:style w:type="character" w:customStyle="1" w:styleId="HeaderChar">
    <w:name w:val="Header Char"/>
    <w:basedOn w:val="DefaultParagraphFont"/>
    <w:link w:val="Header"/>
    <w:uiPriority w:val="99"/>
    <w:rsid w:val="007115C2"/>
  </w:style>
  <w:style w:type="paragraph" w:styleId="Footer">
    <w:name w:val="footer"/>
    <w:basedOn w:val="Normal"/>
    <w:link w:val="FooterChar"/>
    <w:uiPriority w:val="99"/>
    <w:unhideWhenUsed/>
    <w:rsid w:val="007115C2"/>
    <w:pPr>
      <w:tabs>
        <w:tab w:val="center" w:pos="4680"/>
        <w:tab w:val="right" w:pos="9360"/>
      </w:tabs>
      <w:spacing w:line="240" w:lineRule="auto"/>
    </w:pPr>
  </w:style>
  <w:style w:type="character" w:customStyle="1" w:styleId="FooterChar">
    <w:name w:val="Footer Char"/>
    <w:basedOn w:val="DefaultParagraphFont"/>
    <w:link w:val="Footer"/>
    <w:uiPriority w:val="99"/>
    <w:rsid w:val="007115C2"/>
  </w:style>
  <w:style w:type="paragraph" w:styleId="ListParagraph">
    <w:name w:val="List Paragraph"/>
    <w:basedOn w:val="Normal"/>
    <w:uiPriority w:val="34"/>
    <w:qFormat/>
    <w:rsid w:val="009D5C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5C2"/>
    <w:pPr>
      <w:tabs>
        <w:tab w:val="center" w:pos="4680"/>
        <w:tab w:val="right" w:pos="9360"/>
      </w:tabs>
      <w:spacing w:line="240" w:lineRule="auto"/>
    </w:pPr>
  </w:style>
  <w:style w:type="character" w:customStyle="1" w:styleId="HeaderChar">
    <w:name w:val="Header Char"/>
    <w:basedOn w:val="DefaultParagraphFont"/>
    <w:link w:val="Header"/>
    <w:uiPriority w:val="99"/>
    <w:rsid w:val="007115C2"/>
  </w:style>
  <w:style w:type="paragraph" w:styleId="Footer">
    <w:name w:val="footer"/>
    <w:basedOn w:val="Normal"/>
    <w:link w:val="FooterChar"/>
    <w:uiPriority w:val="99"/>
    <w:unhideWhenUsed/>
    <w:rsid w:val="007115C2"/>
    <w:pPr>
      <w:tabs>
        <w:tab w:val="center" w:pos="4680"/>
        <w:tab w:val="right" w:pos="9360"/>
      </w:tabs>
      <w:spacing w:line="240" w:lineRule="auto"/>
    </w:pPr>
  </w:style>
  <w:style w:type="character" w:customStyle="1" w:styleId="FooterChar">
    <w:name w:val="Footer Char"/>
    <w:basedOn w:val="DefaultParagraphFont"/>
    <w:link w:val="Footer"/>
    <w:uiPriority w:val="99"/>
    <w:rsid w:val="007115C2"/>
  </w:style>
  <w:style w:type="paragraph" w:styleId="ListParagraph">
    <w:name w:val="List Paragraph"/>
    <w:basedOn w:val="Normal"/>
    <w:uiPriority w:val="34"/>
    <w:qFormat/>
    <w:rsid w:val="009D5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9</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6</cp:revision>
  <dcterms:created xsi:type="dcterms:W3CDTF">2021-03-19T17:23:00Z</dcterms:created>
  <dcterms:modified xsi:type="dcterms:W3CDTF">2021-03-20T09:14:00Z</dcterms:modified>
</cp:coreProperties>
</file>